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Title"/>
      </w:pPr>
      <w:r>
        <w:t>THE HIGH COURT</w:t>
      </w:r>
    </w:p>
    <w:p>
      <w:pPr>
        <w:jc w:val="center"/>
        <w:rPr>
          <w:b/>
          <w:bCs/>
        </w:rPr>
      </w:pPr>
    </w:p>
    <w:p>
      <w:pPr>
        <w:jc w:val="center"/>
        <w:rPr>
          <w:b/>
          <w:bCs/>
        </w:rPr>
      </w:pPr>
      <w:r>
        <w:rPr>
          <w:b/>
          <w:bCs/>
        </w:rPr>
        <w:t>PROBATE</w:t>
      </w:r>
    </w:p>
    <w:p>
      <w:pPr>
        <w:jc w:val="center"/>
        <w:rPr>
          <w:b/>
          <w:bCs/>
        </w:rPr>
      </w:pPr>
    </w:p>
    <w:p>
      <w:pPr>
        <w:jc w:val="center"/>
        <w:rPr>
          <w:b/>
          <w:bCs/>
        </w:rPr>
      </w:pPr>
      <w:r>
        <w:rPr>
          <w:b/>
          <w:bCs/>
        </w:rPr>
        <w:t>ADMINISTRATION BOND</w:t>
      </w:r>
    </w:p>
    <w:p>
      <w:pPr>
        <w:jc w:val="center"/>
        <w:rPr>
          <w:b/>
          <w:bCs/>
        </w:rPr>
      </w:pPr>
    </w:p>
    <w:p>
      <w:pPr>
        <w:jc w:val="center"/>
        <w:rPr>
          <w:b/>
          <w:bCs/>
        </w:rPr>
      </w:pPr>
      <w:r>
        <w:rPr>
          <w:b/>
          <w:bCs/>
        </w:rPr>
        <w:t>THE PROBATE OFFICE</w:t>
      </w:r>
    </w:p>
    <w:p>
      <w:pPr>
        <w:jc w:val="center"/>
        <w:rPr>
          <w:b/>
          <w:bCs/>
        </w:rPr>
      </w:pPr>
    </w:p>
    <w:p>
      <w:pPr>
        <w:jc w:val="center"/>
        <w:rPr>
          <w:b/>
          <w:bCs/>
        </w:rPr>
      </w:pPr>
    </w:p>
    <w:p>
      <w:pPr>
        <w:spacing w:line="360" w:lineRule="auto"/>
        <w:jc w:val="both"/>
      </w:pPr>
      <w:r>
        <w:t>[</w:t>
      </w:r>
      <w:bookmarkStart w:id="0" w:name="_GoBack"/>
      <w:bookmarkEnd w:id="0"/>
      <w:r>
        <w:t>SYS:iif(LCN:ClNameCon='', 'I', 'We' )], [CNT:Name] of [CNT:LinearAddress], [CNT:Occupation][SYS:iif(LCN:ClNameCon='', '', ' and ' )][LCN:ClNameCon#01] [SYS:iif(LCN:ClNameCon='', '', ' of ' )][LCN:LinearAddress#01] [SYS:iif(LCN:ClNameCon='', 'am', 'are' )] liable in full to pay to the President of the High Court the sum of [SYS:left(format(UDF('WholeEstateVal')*2, '@n12.2'))]  (€[SYS:left(format(UDF('WholeEstateVal')*2, '@n12.2'))] ), for which payment [SYS:iif(LCN:ClNameCon='', 'I', 'we' )] bind [SYS:iif(LCN:ClNameCon='', 'myself and my', 'ourselves and our' )] Executors and Administrators.</w:t>
      </w:r>
    </w:p>
    <w:p>
      <w:pPr>
        <w:spacing w:line="360" w:lineRule="auto"/>
        <w:jc w:val="both"/>
      </w:pPr>
    </w:p>
    <w:p>
      <w:pPr>
        <w:spacing w:line="360" w:lineRule="auto"/>
        <w:jc w:val="both"/>
      </w:pPr>
      <w:r>
        <w:t xml:space="preserve">Sealed with my seal and dated this </w:t>
      </w:r>
      <w:r>
        <w:t> </w:t>
      </w:r>
      <w:r>
        <w:t> </w:t>
      </w:r>
      <w:r>
        <w:t xml:space="preserve"> day of </w:t>
      </w:r>
      <w:r>
        <w:t> </w:t>
      </w:r>
      <w:r>
        <w:t> </w:t>
      </w:r>
      <w:r>
        <w:t> </w:t>
      </w:r>
      <w:r>
        <w:t> </w:t>
      </w:r>
      <w:r>
        <w:t> </w:t>
      </w:r>
      <w:r>
        <w:t> </w:t>
      </w:r>
      <w:r>
        <w:t xml:space="preserve"> [DIA:ThisYear]</w:t>
      </w:r>
    </w:p>
    <w:p>
      <w:pPr>
        <w:spacing w:line="360" w:lineRule="auto"/>
        <w:jc w:val="both"/>
      </w:pPr>
    </w:p>
    <w:p>
      <w:pPr>
        <w:spacing w:line="360" w:lineRule="auto"/>
        <w:jc w:val="both"/>
      </w:pPr>
      <w:r>
        <w:t>The condition of this obligation is such that if the above named [CNT:Name][SYS:iif(LCN:ClNameCon='', '', ' and ' )][LCN:ClNameCon#01], the lawful [UDF:PersRepRelation][SYS:iif(LCN:ClNameCon='', '', ' respectively' )] of [CAN:Name.Deceased#01], [CAN:LinearAddress.Deceased#01], [CAN:Occupation.Deceased#01], [CAN:MartialStatus.Deceased#01]</w:t>
      </w:r>
      <w:r>
        <w:rPr>
          <w:color w:val="FF0000"/>
        </w:rPr>
        <w:t xml:space="preserve"> </w:t>
      </w:r>
      <w:r>
        <w:t xml:space="preserve">Deceased and the intended [SYS:iif(LCN:ClNameCon='', 'Administrator', 'Administrators' )] of the Estate of the said Deceased do, when lawfully called on in that behalf, make or cause to be made a true inventory of the Estate of the said Deceased which has or shall come into [UDF:ClientPronoun] hands, possession or knowledge, or into the hands, possession or control of any other person for [SYS:iif(LCN:ClNameCon='', iif(UDF('ClientPronoun')='HER', 'her', iif(UDF('ClientPronoun')='HIS', 'him', 'it' )) , 'them' )], do exhibit the said inventory or cause it to be exhibited in the Probate Office whenever required by law so to do; do well and truly administer the said Estate according to law, paying all the debts owed by the Deceased at the time of [CAN:PossPronoun.Deceased#01] death, all death duties payable in respect of the Estate of the deceased for which the personal representative is accountable and all income tax and surtax payable out of the estate, distributing all shares in the estate to those entitled by law thereto and as the law requires [SYS:iif(LCN:ClNameCon='', iif(UDF('ClientPronoun')='HER', 'her', iif(UDF('ClientPronoun')='HIS', 'him', 'it' )) , 'them' )]; and further, make do, or cause to be made a true account of the said Administration whenever required by law so; and further do if so required render and deliver up the letters of administration in the </w:t>
      </w:r>
      <w:r>
        <w:lastRenderedPageBreak/>
        <w:t>High Court if it shall hereafter appear that any will was made by the Deceased which is exhibited in the said Court with a request that it be allowed and approved accordingly; then this obligation to be void and of no effect, but shall otherwise remain in full force and effect.</w:t>
      </w:r>
    </w:p>
    <w:p>
      <w:pPr>
        <w:spacing w:line="360" w:lineRule="auto"/>
        <w:jc w:val="both"/>
      </w:pPr>
      <w:r>
        <w:br w:type="page"/>
      </w:r>
    </w:p>
    <w:p>
      <w:pPr>
        <w:jc w:val="both"/>
        <w:rPr>
          <w:b/>
          <w:bCs/>
        </w:rPr>
      </w:pPr>
    </w:p>
    <w:p>
      <w:pPr>
        <w:jc w:val="both"/>
      </w:pPr>
      <w:r>
        <w:rPr>
          <w:b/>
          <w:bCs/>
        </w:rPr>
        <w:t>SIGNED, SEALED and DELIVERED</w:t>
      </w:r>
    </w:p>
    <w:p>
      <w:pPr>
        <w:jc w:val="both"/>
      </w:pPr>
      <w:r>
        <w:t>by the said [CNT:Name]</w:t>
      </w:r>
    </w:p>
    <w:p>
      <w:pPr>
        <w:jc w:val="both"/>
      </w:pPr>
      <w:r>
        <w:t>in the presence of:</w:t>
      </w:r>
    </w:p>
    <w:p>
      <w:pPr>
        <w:jc w:val="both"/>
      </w:pPr>
    </w:p>
    <w:p>
      <w:pPr>
        <w:jc w:val="both"/>
      </w:pPr>
    </w:p>
    <w:p>
      <w:pPr>
        <w:jc w:val="both"/>
      </w:pPr>
    </w:p>
    <w:p>
      <w:pPr>
        <w:jc w:val="both"/>
      </w:pPr>
    </w:p>
    <w:p>
      <w:pPr>
        <w:jc w:val="both"/>
      </w:pPr>
    </w:p>
    <w:p>
      <w:pPr>
        <w:jc w:val="both"/>
      </w:pPr>
    </w:p>
    <w:p>
      <w:pPr>
        <w:ind w:right="5103"/>
      </w:pPr>
      <w:r>
        <w:t>[SYS:iif(LCN:ClNameCon='', '', 'SIGNED, SEALED and DELIVERED by the said ' )][LCN:ClNameCon#01] [SYS:iif(LCN:ClNameCon='', '', 'in the presence of:' )]</w:t>
      </w:r>
    </w:p>
    <w:p>
      <w:pPr>
        <w:ind w:right="5103"/>
      </w:pPr>
    </w:p>
    <w:sectPr>
      <w:headerReference w:type="even" r:id="rId7"/>
      <w:headerReference w:type="default" r:id="rId8"/>
      <w:footerReference w:type="even" r:id="rId9"/>
      <w:footerReference w:type="default" r:id="rId10"/>
      <w:headerReference w:type="first" r:id="rId11"/>
      <w:footerReference w:type="first" r:id="rId12"/>
      <w:pgSz w:w="11907" w:h="16840" w:code="9"/>
      <w:pgMar w:top="709" w:right="850" w:bottom="850" w:left="1417" w:header="709" w:footer="709" w:gutter="0"/>
      <w:paperSrc w:first="1" w:other="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fldChar w:fldCharType="begin"/>
    </w:r>
    <w:r>
      <w:instrText xml:space="preserve"> DocProperty "KeyhouseMatterReference" </w:instrText>
    </w:r>
    <w:r>
      <w:fldChar w:fldCharType="separate"/>
    </w:r>
    <w:r>
      <w:t>0000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fldChar w:fldCharType="begin"/>
    </w:r>
    <w:r>
      <w:instrText xml:space="preserve"> DocProperty "KeyhouseMatterReference" </w:instrText>
    </w:r>
    <w:r>
      <w:fldChar w:fldCharType="separate"/>
    </w:r>
    <w:r>
      <w:t>0000</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fldChar w:fldCharType="begin"/>
    </w:r>
    <w:r>
      <w:instrText xml:space="preserve"> DocProperty "KeyhouseMatterReference" </w:instrText>
    </w:r>
    <w:r>
      <w:fldChar w:fldCharType="separate"/>
    </w:r>
    <w:r>
      <w:t>0000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A1AC8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E20F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16A87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FB220C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5BA0B3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5E93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C6711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DE0C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1C6D4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E251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D254F7"/>
    <w:multiLevelType w:val="multilevel"/>
    <w:tmpl w:val="18090023"/>
    <w:styleLink w:val="ArticleSection"/>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1" w15:restartNumberingAfterBreak="0">
    <w:nsid w:val="2DD20B5B"/>
    <w:multiLevelType w:val="multilevel"/>
    <w:tmpl w:val="1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1CC25F9"/>
    <w:multiLevelType w:val="multilevel"/>
    <w:tmpl w:val="1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C3D6552-C135-4DF7-B84D-B04685EC3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pPr>
      <w:keepNext/>
      <w:numPr>
        <w:numId w:val="3"/>
      </w:numPr>
      <w:spacing w:before="240" w:after="60"/>
      <w:outlineLvl w:val="0"/>
    </w:pPr>
    <w:rPr>
      <w:rFonts w:ascii="Cambria" w:hAnsi="Cambria"/>
      <w:b/>
      <w:bCs/>
      <w:kern w:val="32"/>
      <w:sz w:val="32"/>
      <w:szCs w:val="32"/>
    </w:rPr>
  </w:style>
  <w:style w:type="paragraph" w:styleId="Heading2">
    <w:name w:val="heading 2"/>
    <w:basedOn w:val="Normal"/>
    <w:next w:val="Normal"/>
    <w:link w:val="Heading2Char"/>
    <w:semiHidden/>
    <w:unhideWhenUsed/>
    <w:qFormat/>
    <w:pPr>
      <w:keepNext/>
      <w:numPr>
        <w:ilvl w:val="1"/>
        <w:numId w:val="3"/>
      </w:numPr>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pPr>
      <w:keepNext/>
      <w:numPr>
        <w:ilvl w:val="2"/>
        <w:numId w:val="3"/>
      </w:numPr>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pPr>
      <w:keepNext/>
      <w:numPr>
        <w:ilvl w:val="3"/>
        <w:numId w:val="3"/>
      </w:numPr>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pPr>
      <w:numPr>
        <w:ilvl w:val="4"/>
        <w:numId w:val="3"/>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pPr>
      <w:numPr>
        <w:ilvl w:val="5"/>
        <w:numId w:val="3"/>
      </w:numPr>
      <w:spacing w:before="240" w:after="60"/>
      <w:outlineLvl w:val="5"/>
    </w:pPr>
    <w:rPr>
      <w:rFonts w:ascii="Calibri" w:hAnsi="Calibri"/>
      <w:b/>
      <w:bCs/>
      <w:sz w:val="22"/>
      <w:szCs w:val="22"/>
    </w:rPr>
  </w:style>
  <w:style w:type="paragraph" w:styleId="Heading7">
    <w:name w:val="heading 7"/>
    <w:basedOn w:val="Normal"/>
    <w:next w:val="Normal"/>
    <w:link w:val="Heading7Char"/>
    <w:semiHidden/>
    <w:unhideWhenUsed/>
    <w:qFormat/>
    <w:pPr>
      <w:numPr>
        <w:ilvl w:val="6"/>
        <w:numId w:val="3"/>
      </w:numPr>
      <w:spacing w:before="240" w:after="60"/>
      <w:outlineLvl w:val="6"/>
    </w:pPr>
    <w:rPr>
      <w:rFonts w:ascii="Calibri" w:hAnsi="Calibri"/>
    </w:rPr>
  </w:style>
  <w:style w:type="paragraph" w:styleId="Heading8">
    <w:name w:val="heading 8"/>
    <w:basedOn w:val="Normal"/>
    <w:next w:val="Normal"/>
    <w:link w:val="Heading8Char"/>
    <w:semiHidden/>
    <w:unhideWhenUsed/>
    <w:qFormat/>
    <w:pPr>
      <w:numPr>
        <w:ilvl w:val="7"/>
        <w:numId w:val="3"/>
      </w:numPr>
      <w:spacing w:before="240" w:after="60"/>
      <w:outlineLvl w:val="7"/>
    </w:pPr>
    <w:rPr>
      <w:rFonts w:ascii="Calibri" w:hAnsi="Calibri"/>
      <w:i/>
      <w:iCs/>
    </w:rPr>
  </w:style>
  <w:style w:type="paragraph" w:styleId="Heading9">
    <w:name w:val="heading 9"/>
    <w:basedOn w:val="Normal"/>
    <w:next w:val="Normal"/>
    <w:link w:val="Heading9Char"/>
    <w:semiHidden/>
    <w:unhideWhenUsed/>
    <w:qFormat/>
    <w:pPr>
      <w:numPr>
        <w:ilvl w:val="8"/>
        <w:numId w:val="3"/>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rPr>
  </w:style>
  <w:style w:type="paragraph" w:styleId="BalloonText">
    <w:name w:val="Balloon Text"/>
    <w:basedOn w:val="Normal"/>
    <w:semiHidden/>
    <w:rPr>
      <w:rFonts w:ascii="Tahoma" w:hAnsi="Tahoma" w:cs="Tahoma"/>
      <w:sz w:val="16"/>
      <w:szCs w:val="16"/>
    </w:rPr>
  </w:style>
  <w:style w:type="numbering" w:styleId="111111">
    <w:name w:val="Outline List 2"/>
    <w:basedOn w:val="NoList"/>
    <w:pPr>
      <w:numPr>
        <w:numId w:val="1"/>
      </w:numPr>
    </w:pPr>
  </w:style>
  <w:style w:type="numbering" w:styleId="1ai">
    <w:name w:val="Outline List 1"/>
    <w:basedOn w:val="NoList"/>
    <w:pPr>
      <w:numPr>
        <w:numId w:val="2"/>
      </w:numPr>
    </w:pPr>
  </w:style>
  <w:style w:type="character" w:customStyle="1" w:styleId="Heading1Char">
    <w:name w:val="Heading 1 Char"/>
    <w:link w:val="Heading1"/>
    <w:rPr>
      <w:rFonts w:ascii="Cambria" w:eastAsia="Times New Roman" w:hAnsi="Cambria" w:cs="Times New Roman"/>
      <w:b/>
      <w:bCs/>
      <w:kern w:val="32"/>
      <w:sz w:val="32"/>
      <w:szCs w:val="32"/>
      <w:lang w:val="en-US" w:eastAsia="en-US"/>
    </w:rPr>
  </w:style>
  <w:style w:type="character" w:customStyle="1" w:styleId="Heading2Char">
    <w:name w:val="Heading 2 Char"/>
    <w:link w:val="Heading2"/>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semiHidden/>
    <w:rPr>
      <w:rFonts w:ascii="Cambria" w:eastAsia="Times New Roman" w:hAnsi="Cambria" w:cs="Times New Roman"/>
      <w:b/>
      <w:bCs/>
      <w:sz w:val="26"/>
      <w:szCs w:val="26"/>
      <w:lang w:val="en-US" w:eastAsia="en-US"/>
    </w:rPr>
  </w:style>
  <w:style w:type="character" w:customStyle="1" w:styleId="Heading4Char">
    <w:name w:val="Heading 4 Char"/>
    <w:link w:val="Heading4"/>
    <w:semiHidden/>
    <w:rPr>
      <w:rFonts w:ascii="Calibri" w:eastAsia="Times New Roman" w:hAnsi="Calibri" w:cs="Times New Roman"/>
      <w:b/>
      <w:bCs/>
      <w:sz w:val="28"/>
      <w:szCs w:val="28"/>
      <w:lang w:val="en-US" w:eastAsia="en-US"/>
    </w:rPr>
  </w:style>
  <w:style w:type="character" w:customStyle="1" w:styleId="Heading5Char">
    <w:name w:val="Heading 5 Char"/>
    <w:link w:val="Heading5"/>
    <w:semiHidden/>
    <w:rPr>
      <w:rFonts w:ascii="Calibri" w:eastAsia="Times New Roman" w:hAnsi="Calibri" w:cs="Times New Roman"/>
      <w:b/>
      <w:bCs/>
      <w:i/>
      <w:iCs/>
      <w:sz w:val="26"/>
      <w:szCs w:val="26"/>
      <w:lang w:val="en-US" w:eastAsia="en-US"/>
    </w:rPr>
  </w:style>
  <w:style w:type="character" w:customStyle="1" w:styleId="Heading6Char">
    <w:name w:val="Heading 6 Char"/>
    <w:link w:val="Heading6"/>
    <w:semiHidden/>
    <w:rPr>
      <w:rFonts w:ascii="Calibri" w:eastAsia="Times New Roman" w:hAnsi="Calibri" w:cs="Times New Roman"/>
      <w:b/>
      <w:bCs/>
      <w:sz w:val="22"/>
      <w:szCs w:val="22"/>
      <w:lang w:val="en-US" w:eastAsia="en-US"/>
    </w:rPr>
  </w:style>
  <w:style w:type="character" w:customStyle="1" w:styleId="Heading7Char">
    <w:name w:val="Heading 7 Char"/>
    <w:link w:val="Heading7"/>
    <w:semiHidden/>
    <w:rPr>
      <w:rFonts w:ascii="Calibri" w:eastAsia="Times New Roman" w:hAnsi="Calibri" w:cs="Times New Roman"/>
      <w:sz w:val="24"/>
      <w:szCs w:val="24"/>
      <w:lang w:val="en-US" w:eastAsia="en-US"/>
    </w:rPr>
  </w:style>
  <w:style w:type="character" w:customStyle="1" w:styleId="Heading8Char">
    <w:name w:val="Heading 8 Char"/>
    <w:link w:val="Heading8"/>
    <w:semiHidden/>
    <w:rPr>
      <w:rFonts w:ascii="Calibri" w:eastAsia="Times New Roman" w:hAnsi="Calibri" w:cs="Times New Roman"/>
      <w:i/>
      <w:iCs/>
      <w:sz w:val="24"/>
      <w:szCs w:val="24"/>
      <w:lang w:val="en-US" w:eastAsia="en-US"/>
    </w:rPr>
  </w:style>
  <w:style w:type="character" w:customStyle="1" w:styleId="Heading9Char">
    <w:name w:val="Heading 9 Char"/>
    <w:link w:val="Heading9"/>
    <w:semiHidden/>
    <w:rPr>
      <w:rFonts w:ascii="Cambria" w:eastAsia="Times New Roman" w:hAnsi="Cambria" w:cs="Times New Roman"/>
      <w:sz w:val="22"/>
      <w:szCs w:val="22"/>
      <w:lang w:val="en-US" w:eastAsia="en-US"/>
    </w:rPr>
  </w:style>
  <w:style w:type="numbering" w:styleId="ArticleSection">
    <w:name w:val="Outline List 3"/>
    <w:basedOn w:val="NoList"/>
    <w:pPr>
      <w:numPr>
        <w:numId w:val="3"/>
      </w:numPr>
    </w:p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en-US" w:eastAsia="en-US"/>
    </w:r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4"/>
      <w:szCs w:val="24"/>
      <w:lang w:val="en-US"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val="en-US"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basedOn w:val="BodyTextChar"/>
    <w:link w:val="BodyTextFirstIndent"/>
    <w:rPr>
      <w:sz w:val="24"/>
      <w:szCs w:val="24"/>
      <w:lang w:val="en-US"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sz w:val="24"/>
      <w:szCs w:val="24"/>
      <w:lang w:val="en-US"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basedOn w:val="BodyTextIndentChar"/>
    <w:link w:val="BodyTextFirstIndent2"/>
    <w:rPr>
      <w:sz w:val="24"/>
      <w:szCs w:val="24"/>
      <w:lang w:val="en-US"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sz w:val="24"/>
      <w:szCs w:val="24"/>
      <w:lang w:val="en-US"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val="en-US"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szCs w:val="20"/>
    </w:rPr>
  </w:style>
  <w:style w:type="paragraph" w:styleId="Closing">
    <w:name w:val="Closing"/>
    <w:basedOn w:val="Normal"/>
    <w:link w:val="ClosingChar"/>
    <w:pPr>
      <w:ind w:left="4252"/>
    </w:pPr>
  </w:style>
  <w:style w:type="character" w:customStyle="1" w:styleId="ClosingChar">
    <w:name w:val="Closing Char"/>
    <w:link w:val="Closing"/>
    <w:rPr>
      <w:sz w:val="24"/>
      <w:szCs w:val="24"/>
      <w:lang w:val="en-US"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link w:val="CommentText"/>
    <w:rPr>
      <w:lang w:val="en-US"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US"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4"/>
      <w:szCs w:val="24"/>
      <w:lang w:val="en-US"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val="en-US"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4"/>
      <w:szCs w:val="24"/>
      <w:lang w:val="en-US" w:eastAsia="en-US"/>
    </w:rPr>
  </w:style>
  <w:style w:type="character" w:styleId="Emphasis">
    <w:name w:val="Emphasis"/>
    <w:qFormat/>
    <w:rPr>
      <w:i/>
      <w:iCs/>
    </w:rPr>
  </w:style>
  <w:style w:type="character" w:styleId="EndnoteReference">
    <w:name w:val="endnote reference"/>
    <w:rPr>
      <w:vertAlign w:val="superscript"/>
    </w:rPr>
  </w:style>
  <w:style w:type="paragraph" w:styleId="EndnoteText">
    <w:name w:val="endnote text"/>
    <w:basedOn w:val="Normal"/>
    <w:link w:val="EndnoteTextChar"/>
    <w:rPr>
      <w:sz w:val="20"/>
      <w:szCs w:val="20"/>
    </w:rPr>
  </w:style>
  <w:style w:type="character" w:customStyle="1" w:styleId="EndnoteTextChar">
    <w:name w:val="Endnote Text Char"/>
    <w:link w:val="EndnoteText"/>
    <w:rPr>
      <w:lang w:val="en-US" w:eastAsia="en-US"/>
    </w:rPr>
  </w:style>
  <w:style w:type="paragraph" w:styleId="EnvelopeAddress">
    <w:name w:val="envelope address"/>
    <w:basedOn w:val="Normal"/>
    <w:pPr>
      <w:framePr w:w="7920" w:h="1980" w:hRule="exact" w:hSpace="180" w:wrap="auto" w:hAnchor="page" w:xAlign="center" w:yAlign="bottom"/>
      <w:ind w:left="2880"/>
    </w:pPr>
    <w:rPr>
      <w:rFonts w:ascii="Cambria" w:hAnsi="Cambria"/>
    </w:rPr>
  </w:style>
  <w:style w:type="paragraph" w:styleId="EnvelopeReturn">
    <w:name w:val="envelope return"/>
    <w:basedOn w:val="Normal"/>
    <w:rPr>
      <w:rFonts w:ascii="Cambria" w:hAnsi="Cambria"/>
      <w:sz w:val="20"/>
      <w:szCs w:val="20"/>
    </w:rPr>
  </w:style>
  <w:style w:type="character" w:styleId="FollowedHyperlink">
    <w:name w:val="FollowedHyperlink"/>
    <w:rPr>
      <w:color w:val="800080"/>
      <w:u w:val="single"/>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US" w:eastAsia="en-US"/>
    </w:rPr>
  </w:style>
  <w:style w:type="character" w:styleId="FootnoteReference">
    <w:name w:val="footnote reference"/>
    <w:rPr>
      <w:vertAlign w:val="superscript"/>
    </w:rPr>
  </w:style>
  <w:style w:type="paragraph" w:styleId="FootnoteText">
    <w:name w:val="footnote text"/>
    <w:basedOn w:val="Normal"/>
    <w:link w:val="FootnoteTextChar"/>
    <w:rPr>
      <w:sz w:val="20"/>
      <w:szCs w:val="20"/>
    </w:rPr>
  </w:style>
  <w:style w:type="character" w:customStyle="1" w:styleId="FootnoteTextChar">
    <w:name w:val="Footnote Text Char"/>
    <w:link w:val="FootnoteText"/>
    <w:rPr>
      <w:lang w:val="en-US"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US" w:eastAsia="en-US"/>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4"/>
      <w:szCs w:val="24"/>
      <w:lang w:val="en-US"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szCs w:val="20"/>
    </w:rPr>
  </w:style>
  <w:style w:type="character" w:customStyle="1" w:styleId="HTMLPreformattedChar">
    <w:name w:val="HTML Preformatted Char"/>
    <w:link w:val="HTMLPreformatted"/>
    <w:rPr>
      <w:rFonts w:ascii="Courier New" w:hAnsi="Courier New" w:cs="Courier New"/>
      <w:lang w:val="en-US"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40" w:hanging="240"/>
    </w:pPr>
  </w:style>
  <w:style w:type="paragraph" w:styleId="Index2">
    <w:name w:val="index 2"/>
    <w:basedOn w:val="Normal"/>
    <w:next w:val="Normal"/>
    <w:autoRedefine/>
    <w:pPr>
      <w:ind w:left="480" w:hanging="240"/>
    </w:pPr>
  </w:style>
  <w:style w:type="paragraph" w:styleId="Index3">
    <w:name w:val="index 3"/>
    <w:basedOn w:val="Normal"/>
    <w:next w:val="Normal"/>
    <w:autoRedefine/>
    <w:pPr>
      <w:ind w:left="720" w:hanging="240"/>
    </w:pPr>
  </w:style>
  <w:style w:type="paragraph" w:styleId="Index4">
    <w:name w:val="index 4"/>
    <w:basedOn w:val="Normal"/>
    <w:next w:val="Normal"/>
    <w:autoRedefine/>
    <w:pPr>
      <w:ind w:left="960" w:hanging="240"/>
    </w:pPr>
  </w:style>
  <w:style w:type="paragraph" w:styleId="Index5">
    <w:name w:val="index 5"/>
    <w:basedOn w:val="Normal"/>
    <w:next w:val="Normal"/>
    <w:autoRedefine/>
    <w:pPr>
      <w:ind w:left="1200" w:hanging="240"/>
    </w:pPr>
  </w:style>
  <w:style w:type="paragraph" w:styleId="Index6">
    <w:name w:val="index 6"/>
    <w:basedOn w:val="Normal"/>
    <w:next w:val="Normal"/>
    <w:autoRedefine/>
    <w:pPr>
      <w:ind w:left="1440" w:hanging="240"/>
    </w:pPr>
  </w:style>
  <w:style w:type="paragraph" w:styleId="Index7">
    <w:name w:val="index 7"/>
    <w:basedOn w:val="Normal"/>
    <w:next w:val="Normal"/>
    <w:autoRedefine/>
    <w:pPr>
      <w:ind w:left="1680" w:hanging="240"/>
    </w:pPr>
  </w:style>
  <w:style w:type="paragraph" w:styleId="Index8">
    <w:name w:val="index 8"/>
    <w:basedOn w:val="Normal"/>
    <w:next w:val="Normal"/>
    <w:autoRedefine/>
    <w:pPr>
      <w:ind w:left="1920" w:hanging="240"/>
    </w:pPr>
  </w:style>
  <w:style w:type="paragraph" w:styleId="Index9">
    <w:name w:val="index 9"/>
    <w:basedOn w:val="Normal"/>
    <w:next w:val="Normal"/>
    <w:autoRedefine/>
    <w:pPr>
      <w:ind w:left="2160" w:hanging="24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4"/>
      <w:szCs w:val="24"/>
      <w:lang w:val="en-US"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Bullet">
    <w:name w:val="List Bullet"/>
    <w:basedOn w:val="Normal"/>
    <w:pPr>
      <w:numPr>
        <w:numId w:val="4"/>
      </w:numPr>
      <w:contextualSpacing/>
    </w:pPr>
  </w:style>
  <w:style w:type="paragraph" w:styleId="ListBullet2">
    <w:name w:val="List Bullet 2"/>
    <w:basedOn w:val="Normal"/>
    <w:pPr>
      <w:numPr>
        <w:numId w:val="5"/>
      </w:numPr>
      <w:contextualSpacing/>
    </w:pPr>
  </w:style>
  <w:style w:type="paragraph" w:styleId="ListBullet3">
    <w:name w:val="List Bullet 3"/>
    <w:basedOn w:val="Normal"/>
    <w:pPr>
      <w:numPr>
        <w:numId w:val="6"/>
      </w:numPr>
      <w:contextualSpacing/>
    </w:pPr>
  </w:style>
  <w:style w:type="paragraph" w:styleId="ListBullet4">
    <w:name w:val="List Bullet 4"/>
    <w:basedOn w:val="Normal"/>
    <w:pPr>
      <w:numPr>
        <w:numId w:val="7"/>
      </w:numPr>
      <w:contextualSpacing/>
    </w:pPr>
  </w:style>
  <w:style w:type="paragraph" w:styleId="ListBullet5">
    <w:name w:val="List Bullet 5"/>
    <w:basedOn w:val="Normal"/>
    <w:pPr>
      <w:numPr>
        <w:numId w:val="8"/>
      </w:numPr>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US" w:eastAsia="en-US"/>
    </w:rPr>
  </w:style>
  <w:style w:type="character" w:customStyle="1" w:styleId="MacroTextChar">
    <w:name w:val="Macro Text Char"/>
    <w:link w:val="MacroText"/>
    <w:rPr>
      <w:rFonts w:ascii="Courier New" w:hAnsi="Courier New" w:cs="Courier New"/>
      <w:lang w:val="en-US"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val="en-US" w:eastAsia="en-US"/>
    </w:rPr>
  </w:style>
  <w:style w:type="paragraph" w:styleId="NoSpacing">
    <w:name w:val="No Spacing"/>
    <w:uiPriority w:val="1"/>
    <w:qFormat/>
    <w:rPr>
      <w:sz w:val="24"/>
      <w:szCs w:val="24"/>
      <w:lang w:val="en-US" w:eastAsia="en-US"/>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4"/>
      <w:szCs w:val="24"/>
      <w:lang w:val="en-US" w:eastAsia="en-US"/>
    </w:rPr>
  </w:style>
  <w:style w:type="character" w:styleId="PageNumber">
    <w:name w:val="page numbe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szCs w:val="20"/>
    </w:rPr>
  </w:style>
  <w:style w:type="character" w:customStyle="1" w:styleId="PlainTextChar">
    <w:name w:val="Plain Text Char"/>
    <w:link w:val="PlainText"/>
    <w:rPr>
      <w:rFonts w:ascii="Courier New" w:hAnsi="Courier New" w:cs="Courier New"/>
      <w:lang w:val="en-US"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4"/>
      <w:szCs w:val="24"/>
      <w:lang w:val="en-US" w:eastAsia="en-US"/>
    </w:rPr>
  </w:style>
  <w:style w:type="paragraph" w:styleId="Salutation">
    <w:name w:val="Salutation"/>
    <w:basedOn w:val="Normal"/>
    <w:next w:val="Normal"/>
    <w:link w:val="SalutationChar"/>
  </w:style>
  <w:style w:type="character" w:customStyle="1" w:styleId="SalutationChar">
    <w:name w:val="Salutation Char"/>
    <w:link w:val="Salutation"/>
    <w:rPr>
      <w:sz w:val="24"/>
      <w:szCs w:val="24"/>
      <w:lang w:val="en-US"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4"/>
      <w:szCs w:val="24"/>
      <w:lang w:val="en-US"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rPr>
  </w:style>
  <w:style w:type="character" w:customStyle="1" w:styleId="SubtitleChar">
    <w:name w:val="Subtitle Char"/>
    <w:link w:val="Subtitle"/>
    <w:rPr>
      <w:rFonts w:ascii="Cambria" w:eastAsia="Times New Roman" w:hAnsi="Cambria" w:cs="Times New Roman"/>
      <w:sz w:val="24"/>
      <w:szCs w:val="24"/>
      <w:lang w:val="en-US"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40" w:hanging="240"/>
    </w:pPr>
  </w:style>
  <w:style w:type="paragraph" w:styleId="TableofFigures">
    <w:name w:val="table of figures"/>
    <w:basedOn w:val="Normal"/>
    <w:next w:val="Normal"/>
  </w:style>
  <w:style w:type="table" w:styleId="TableProfessional">
    <w:name w:val="Table Professional"/>
    <w:basedOn w:val="TableNormal"/>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pPr>
      <w:spacing w:before="120"/>
    </w:pPr>
    <w:rPr>
      <w:rFonts w:ascii="Cambria" w:hAnsi="Cambria"/>
      <w:b/>
      <w:bCs/>
    </w:rPr>
  </w:style>
  <w:style w:type="paragraph" w:styleId="TOC1">
    <w:name w:val="toc 1"/>
    <w:basedOn w:val="Normal"/>
    <w:next w:val="Normal"/>
    <w:autoRedefine/>
  </w:style>
  <w:style w:type="paragraph" w:styleId="TOC2">
    <w:name w:val="toc 2"/>
    <w:basedOn w:val="Normal"/>
    <w:next w:val="Normal"/>
    <w:autoRedefine/>
    <w:pPr>
      <w:ind w:left="240"/>
    </w:pPr>
  </w:style>
  <w:style w:type="paragraph" w:styleId="TOC3">
    <w:name w:val="toc 3"/>
    <w:basedOn w:val="Normal"/>
    <w:next w:val="Normal"/>
    <w:autoRedefine/>
    <w:pPr>
      <w:ind w:left="480"/>
    </w:pPr>
  </w:style>
  <w:style w:type="paragraph" w:styleId="TOC4">
    <w:name w:val="toc 4"/>
    <w:basedOn w:val="Normal"/>
    <w:next w:val="Normal"/>
    <w:autoRedefine/>
    <w:pPr>
      <w:ind w:left="720"/>
    </w:pPr>
  </w:style>
  <w:style w:type="paragraph" w:styleId="TOC5">
    <w:name w:val="toc 5"/>
    <w:basedOn w:val="Normal"/>
    <w:next w:val="Normal"/>
    <w:autoRedefine/>
    <w:pPr>
      <w:ind w:left="960"/>
    </w:pPr>
  </w:style>
  <w:style w:type="paragraph" w:styleId="TOC6">
    <w:name w:val="toc 6"/>
    <w:basedOn w:val="Normal"/>
    <w:next w:val="Normal"/>
    <w:autoRedefine/>
    <w:pPr>
      <w:ind w:left="1200"/>
    </w:pPr>
  </w:style>
  <w:style w:type="paragraph" w:styleId="TOC7">
    <w:name w:val="toc 7"/>
    <w:basedOn w:val="Normal"/>
    <w:next w:val="Normal"/>
    <w:autoRedefine/>
    <w:pPr>
      <w:ind w:left="1440"/>
    </w:pPr>
  </w:style>
  <w:style w:type="paragraph" w:styleId="TOC8">
    <w:name w:val="toc 8"/>
    <w:basedOn w:val="Normal"/>
    <w:next w:val="Normal"/>
    <w:autoRedefine/>
    <w:pPr>
      <w:ind w:left="1680"/>
    </w:pPr>
  </w:style>
  <w:style w:type="paragraph" w:styleId="TOC9">
    <w:name w:val="toc 9"/>
    <w:basedOn w:val="Normal"/>
    <w:next w:val="Normal"/>
    <w:autoRedefine/>
    <w:pPr>
      <w:ind w:left="1920"/>
    </w:pPr>
  </w:style>
  <w:style w:type="paragraph" w:styleId="TOCHeading">
    <w:name w:val="TOC Heading"/>
    <w:basedOn w:val="Heading1"/>
    <w:next w:val="Normal"/>
    <w:uiPriority w:val="39"/>
    <w:semiHidden/>
    <w:unhideWhenUsed/>
    <w:qFormat/>
    <w:pPr>
      <w:numPr>
        <w:numId w:val="0"/>
      </w:num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444</Words>
  <Characters>2533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THE HIGH COURT</vt:lpstr>
    </vt:vector>
  </TitlesOfParts>
  <Company/>
  <LinksUpToDate>false</LinksUpToDate>
  <CharactersWithSpaces>2972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HIGH COURT</dc:title>
  <dc:subject/>
  <dc:creator>Elaine Lawlor</dc:creator>
  <cp:keywords/>
  <cp:lastModifiedBy>Art Kavanagh</cp:lastModifiedBy>
  <cp:revision>7</cp:revision>
  <cp:lastPrinted>2011-07-27T11:03:00Z</cp:lastPrinted>
  <dcterms:created xsi:type="dcterms:W3CDTF">2019-05-13T15:43:00Z</dcterms:created>
  <dcterms:modified xsi:type="dcterms:W3CDTF">2020-05-27T15:41:00Z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MatterReference">
    <vt:lpwstr>0000</vt:lpwstr>
  </property>
</Properties>
</file>